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2"/>
        </w:numPr>
        <w:ind w:hanging="0" w:start="0"/>
        <w:rPr/>
      </w:pPr>
      <w:r>
        <w:rPr/>
        <w:t>Rapport colonial pour le congrès du POI</w:t>
      </w:r>
    </w:p>
    <w:p>
      <w:pPr>
        <w:pStyle w:val="Subtitle"/>
        <w:numPr>
          <w:ilvl w:val="0"/>
          <w:numId w:val="2"/>
        </w:numPr>
        <w:rPr/>
      </w:pPr>
      <w:r>
        <w:rPr/>
        <w:t>Extraits</w:t>
      </w:r>
    </w:p>
    <w:p>
      <w:pPr>
        <w:pStyle w:val="Subtitle"/>
        <w:numPr>
          <w:ilvl w:val="0"/>
          <w:numId w:val="2"/>
        </w:numPr>
        <w:rPr/>
      </w:pPr>
      <w:r>
        <w:rPr/>
        <w:t>30 octobre 1937</w:t>
      </w:r>
    </w:p>
    <w:p>
      <w:pPr>
        <w:pStyle w:val="BodyText"/>
        <w:numPr>
          <w:ilvl w:val="0"/>
          <w:numId w:val="2"/>
        </w:numPr>
        <w:pBdr>
          <w:top w:val="single" w:sz="2" w:space="1" w:color="000000"/>
          <w:bottom w:val="single" w:sz="2" w:space="1" w:color="000000"/>
        </w:pBdr>
        <w:rPr/>
      </w:pPr>
      <w:r>
        <w:rPr/>
        <w:t xml:space="preserve">Source : B. Stora, </w:t>
      </w:r>
      <w:r>
        <w:rPr>
          <w:rStyle w:val="Quotation"/>
        </w:rPr>
        <w:t>Nationalistes algériens et révolutionnaires français au temps du Front Populaire</w:t>
      </w:r>
      <w:r>
        <w:rPr/>
        <w:t>, 1987.</w:t>
      </w:r>
    </w:p>
    <w:p>
      <w:pPr>
        <w:pStyle w:val="PreformattedText"/>
        <w:numPr>
          <w:ilvl w:val="0"/>
          <w:numId w:val="2"/>
        </w:numPr>
        <w:ind w:hanging="0" w:start="0"/>
        <w:rPr/>
      </w:pPr>
      <w:r>
        <w:rPr/>
      </w:r>
    </w:p>
    <w:p>
      <w:pPr>
        <w:pStyle w:val="Normal"/>
        <w:numPr>
          <w:ilvl w:val="0"/>
          <w:numId w:val="2"/>
        </w:numPr>
        <w:rPr/>
      </w:pPr>
      <w:r>
        <w:rPr/>
        <w:t xml:space="preserve">La liaison internationale du mouvement révolutionnaire colonial avec le mouvement prolétarien international, par l’entremise des partis de la </w:t>
      </w:r>
      <w:r>
        <w:rPr/>
        <w:t>IV°</w:t>
      </w:r>
      <w:r>
        <w:rPr/>
        <w:t xml:space="preserve"> Internationale, apportera au mouvement colonial un concours idéologique et matériel qui multipliera ses forces. La liaison internationale constitue le premier pas de la marche pour </w:t>
      </w:r>
      <w:r>
        <w:rPr/>
        <w:t>l</w:t>
      </w:r>
      <w:r>
        <w:rPr/>
        <w:t>'Indochine vers les États-Unis Soviétiques de l’Asie libérée.</w:t>
      </w:r>
    </w:p>
    <w:p>
      <w:pPr>
        <w:pStyle w:val="Normal"/>
        <w:numPr>
          <w:ilvl w:val="0"/>
          <w:numId w:val="2"/>
        </w:numPr>
        <w:rPr/>
      </w:pPr>
      <w:r>
        <w:rPr/>
        <w:t>Ici, en France, maintenir et continuer la politique de front unique vis-</w:t>
      </w:r>
      <w:r>
        <w:rPr/>
        <w:t>à</w:t>
      </w:r>
      <w:r>
        <w:rPr/>
        <w:t xml:space="preserve">-vis du parti du peuple algérien. Le </w:t>
      </w:r>
      <w:r>
        <w:rPr/>
        <w:t>PPA</w:t>
      </w:r>
      <w:r>
        <w:rPr>
          <w:rStyle w:val="FootnoteReference"/>
        </w:rPr>
        <w:footnoteReference w:id="2"/>
      </w:r>
      <w:r>
        <w:rPr/>
        <w:t xml:space="preserve"> est la seule organisation d’opposition sérieuse en Algérie. Sa composition ouvrière </w:t>
      </w:r>
      <w:r>
        <w:rPr/>
        <w:t>l</w:t>
      </w:r>
      <w:r>
        <w:rPr/>
        <w:t xml:space="preserve">’amène </w:t>
      </w:r>
      <w:r>
        <w:rPr/>
        <w:t>à</w:t>
      </w:r>
      <w:r>
        <w:rPr/>
        <w:t xml:space="preserve"> poser le problème social sous l’angle prolétarien. Il est la seule organisation importante des éléments nord-africains en France. Au début, sa direction sous la pression du chantage stalinien, hésitait </w:t>
      </w:r>
      <w:r>
        <w:rPr/>
        <w:t>à</w:t>
      </w:r>
      <w:r>
        <w:rPr/>
        <w:t xml:space="preserve"> réaliser le front unique avec notre parti. Nous avons réuss</w:t>
      </w:r>
      <w:r>
        <w:rPr/>
        <w:t>i</w:t>
      </w:r>
      <w:r>
        <w:rPr/>
        <w:t xml:space="preserve"> cependant </w:t>
      </w:r>
      <w:r>
        <w:rPr/>
        <w:t>à</w:t>
      </w:r>
      <w:r>
        <w:rPr/>
        <w:t xml:space="preserve"> l’y entraîner. Cette activité s’est marquée essentiellement par quelques meetings locaux, par le meeting de la salle du Petit Journal et le meeting </w:t>
      </w:r>
      <w:r>
        <w:rPr/>
        <w:t>à</w:t>
      </w:r>
      <w:r>
        <w:rPr/>
        <w:t xml:space="preserve"> Saint-Denis, par des rapports plus étroits sur le plan de </w:t>
      </w:r>
      <w:r>
        <w:rPr/>
        <w:t>l’</w:t>
      </w:r>
      <w:r>
        <w:rPr/>
        <w:t xml:space="preserve">activité générale. Depuis, nous avons eu </w:t>
      </w:r>
      <w:r>
        <w:rPr/>
        <w:t>l’</w:t>
      </w:r>
      <w:r>
        <w:rPr/>
        <w:t xml:space="preserve">arrestation de tous les dirigeants du </w:t>
      </w:r>
      <w:r>
        <w:rPr/>
        <w:t>PPA</w:t>
      </w:r>
      <w:r>
        <w:rPr/>
        <w:t xml:space="preserve">, c’est-a-dire des éléments les plus conscients et les plus favorables a un travail commun. Depuis lors, des éléments racistes s’efforcent de prendre la direction du </w:t>
      </w:r>
      <w:r>
        <w:rPr/>
        <w:t>PPA</w:t>
      </w:r>
      <w:r>
        <w:rPr/>
        <w:t xml:space="preserve"> et rendent plus difficile le travail du front unique. Notre parti doit multiplier ses efforts dans ce sens. Mais pour rendre efficace ce travail il est nécessaire qu’il soit réalisé </w:t>
      </w:r>
      <w:r>
        <w:rPr/>
        <w:t>à</w:t>
      </w:r>
      <w:r>
        <w:rPr/>
        <w:t xml:space="preserve"> la base. Chaque rayon doit avoir un responsable pour les liaisons locales avec la section du </w:t>
      </w:r>
      <w:r>
        <w:rPr/>
        <w:t>PPA</w:t>
      </w:r>
      <w:r>
        <w:rPr/>
        <w:t xml:space="preserve"> et la diffusion de notre presse dans les milieux nord-africains. Chaque région doit avoir un responsable central pour ce travail en liaison directe avec la commission coloniale et sous le contrôle de cette dernière. Enfin, nos camarades d’usine doivent réaliser sur le plan de </w:t>
      </w:r>
      <w:r>
        <w:rPr/>
        <w:t>l’</w:t>
      </w:r>
      <w:r>
        <w:rPr/>
        <w:t>entreprise le front unique avec les ouvriers Nord-Africains avec tout ce que cela comporte.</w:t>
      </w:r>
    </w:p>
    <w:p>
      <w:pPr>
        <w:pStyle w:val="Normal"/>
        <w:numPr>
          <w:ilvl w:val="0"/>
          <w:numId w:val="2"/>
        </w:numPr>
        <w:spacing w:before="0" w:after="113"/>
        <w:rPr/>
      </w:pPr>
      <w:r>
        <w:rPr/>
        <w:t xml:space="preserve">Notre parti doit prendre la tête dans les </w:t>
      </w:r>
      <w:r>
        <w:rPr/>
        <w:t>c</w:t>
      </w:r>
      <w:r>
        <w:rPr/>
        <w:t xml:space="preserve">olonies, de la campagne contre la guerre impérialiste en la nourrissant de toutes les revendications sociales. Dans cette campagne, notre parti et notre section indochinoise doivent particulièrement orienter leurs coups contre la politique de trahison du stalinisme entraînant les masses derrière </w:t>
      </w:r>
      <w:r>
        <w:rPr/>
        <w:t>l’</w:t>
      </w:r>
      <w:r>
        <w:rPr/>
        <w:t>impérialisme.</w:t>
      </w:r>
    </w:p>
    <w:sectPr>
      <w:headerReference w:type="default" r:id="rId2"/>
      <w:headerReference w:type="first" r:id="rId3"/>
      <w:footerReference w:type="default" r:id="rId4"/>
      <w:footerReference w:type="first" r:id="rId5"/>
      <w:footnotePr>
        <w:numFmt w:val="decimal"/>
        <w:numRestart w:val="eachSect"/>
      </w:footnotePr>
      <w:type w:val="nextPage"/>
      <w:pgSz w:w="11906" w:h="16838"/>
      <w:pgMar w:left="1134" w:right="1134" w:gutter="0" w:header="1134" w:top="1794" w:footer="1134" w:bottom="176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variable"/>
  </w:font>
  <w:font w:name="Arial">
    <w:altName w:val="Helvetica"/>
    <w:charset w:val="01" w:characterSet="utf-8"/>
    <w:family w:val="swiss"/>
    <w:pitch w:val="default"/>
  </w:font>
  <w:font w:name="Symbol">
    <w:charset w:val="02"/>
    <w:family w:val="auto"/>
    <w:pitch w:val="default"/>
  </w:font>
  <w:font w:name="OpenSymbol">
    <w:altName w:val="Arial Unicode MS"/>
    <w:charset w:val="01" w:characterSet="utf-8"/>
    <w:family w:val="auto"/>
    <w:pitch w:val="default"/>
  </w:font>
  <w:font w:name="OpenSymbol">
    <w:altName w:val="Arial Unicode MS"/>
    <w:charset w:val="02"/>
    <w:family w:val="auto"/>
    <w:pitch w:val="default"/>
  </w:font>
  <w:font w:name="Arial Black">
    <w:charset w:val="01" w:characterSet="utf-8"/>
    <w:family w:val="swiss"/>
    <w:pitch w:val="variable"/>
  </w:font>
  <w:font w:name="Liberation Sans">
    <w:altName w:val="Arial"/>
    <w:charset w:val="01" w:characterSet="utf-8"/>
    <w:family w:val="swiss"/>
    <w:pitch w:val="variable"/>
  </w:font>
  <w:font w:name="Times">
    <w:altName w:val="Times New Roman"/>
    <w:charset w:val="01" w:characterSet="utf-8"/>
    <w:family w:val="auto"/>
    <w:pitch w:val="default"/>
  </w:font>
  <w:font w:name="Liberation Mono">
    <w:altName w:val="Courier New"/>
    <w:charset w:val="01" w:characterSet="utf-8"/>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13"/>
      <w:jc w:val="center"/>
      <w:rPr/>
    </w:pPr>
    <w:bookmarkStart w:id="0" w:name="PageNumWizard_FOOTER_Default_Page_Style3"/>
    <w:r>
      <w:rPr>
        <w:sz w:val="20"/>
        <w:szCs w:val="20"/>
      </w:rPr>
      <w:fldChar w:fldCharType="begin"/>
    </w:r>
    <w:r>
      <w:rPr>
        <w:sz w:val="20"/>
        <w:szCs w:val="20"/>
      </w:rPr>
      <w:instrText xml:space="preserve"> PAGE </w:instrText>
    </w:r>
    <w:r>
      <w:rPr>
        <w:sz w:val="20"/>
        <w:szCs w:val="20"/>
      </w:rPr>
      <w:fldChar w:fldCharType="separate"/>
    </w:r>
    <w:r>
      <w:rPr>
        <w:sz w:val="20"/>
        <w:szCs w:val="20"/>
      </w:rPr>
      <w:t>39</w:t>
    </w:r>
    <w:r>
      <w:rPr>
        <w:sz w:val="20"/>
        <w:szCs w:val="20"/>
      </w:rPr>
      <w:fldChar w:fldCharType="end"/>
    </w:r>
    <w:bookmarkEnd w:id="0"/>
    <w:r>
      <w:rPr>
        <w:sz w:val="20"/>
        <w:szCs w:val="20"/>
      </w:rPr>
      <w:t>/</w:t>
    </w:r>
    <w:r>
      <w:rPr>
        <w:sz w:val="20"/>
        <w:szCs w:val="20"/>
      </w:rPr>
      <w:fldChar w:fldCharType="begin"/>
    </w:r>
    <w:r>
      <w:rPr>
        <w:sz w:val="20"/>
        <w:szCs w:val="20"/>
      </w:rPr>
      <w:instrText xml:space="preserve"> NUMPAGES \* ARABIC </w:instrText>
    </w:r>
    <w:r>
      <w:rPr>
        <w:sz w:val="20"/>
        <w:szCs w:val="20"/>
      </w:rPr>
      <w:fldChar w:fldCharType="separate"/>
    </w:r>
    <w:r>
      <w:rPr>
        <w:sz w:val="20"/>
        <w:szCs w:val="20"/>
      </w:rPr>
      <w:t>1</w:t>
    </w:r>
    <w:r>
      <w:rPr>
        <w:sz w:val="20"/>
        <w:szCs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before="0" w:after="113"/>
      <w:ind w:end="0"/>
      <w:jc w:val="both"/>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suppressLineNumbers/>
        <w:tabs>
          <w:tab w:val="clear" w:pos="709"/>
          <w:tab w:val="left" w:pos="225" w:leader="none"/>
        </w:tabs>
        <w:suppressAutoHyphens w:val="true"/>
        <w:bidi w:val="0"/>
        <w:spacing w:before="0" w:after="113"/>
        <w:ind w:hanging="113" w:start="0" w:end="0"/>
        <w:jc w:val="both"/>
        <w:rPr/>
      </w:pPr>
      <w:r>
        <w:rPr>
          <w:rStyle w:val="FootnoteCharacters"/>
        </w:rPr>
        <w:footnoteRef/>
      </w:r>
      <w:r>
        <w:rPr/>
        <w:tab/>
        <w:t xml:space="preserve">PPA : </w:t>
      </w:r>
      <w:r>
        <w:rPr>
          <w:rStyle w:val="Quotation"/>
        </w:rPr>
        <w:t>Parti du Peuple Algérien</w:t>
      </w:r>
      <w:r>
        <w:rPr/>
        <w:t>, nationaliste. Le PPA avait été fondé en mars 1937 à la suite de l’interdiction de l’Étoile Nord-Africaine par le gouvernement de Front Populaire. Son dirigeant incontesté était Messali Hadj.</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2" w:space="1" w:color="000000"/>
      </w:pBdr>
      <w:spacing w:before="0" w:after="113"/>
      <w:jc w:val="center"/>
      <w:rPr/>
    </w:pPr>
    <w:r>
      <w:rPr>
        <w:sz w:val="18"/>
        <w:szCs w:val="18"/>
      </w:rPr>
      <w:t xml:space="preserve">L. Trotsky : </w:t>
    </w:r>
    <w:r>
      <w:rPr>
        <w:i/>
        <w:iCs/>
        <w:sz w:val="18"/>
        <w:szCs w:val="18"/>
      </w:rPr>
      <w:t>Œuvres</w:t>
    </w:r>
    <w:r>
      <w:rPr>
        <w:sz w:val="18"/>
        <w:szCs w:val="18"/>
      </w:rPr>
      <w:t>, mars 1939</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before="0" w:after="113"/>
      <w:ind w:end="0"/>
      <w:jc w:val="both"/>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lvl>
    <w:lvl w:ilvl="1">
      <w:start w:val="1"/>
      <w:pStyle w:val="Heading2"/>
      <w:numFmt w:val="none"/>
      <w:suff w:val="nothing"/>
      <w:lvlText w:val="%2"/>
      <w:lvlJc w:val="start"/>
      <w:pPr>
        <w:tabs>
          <w:tab w:val="num" w:pos="0"/>
        </w:tabs>
        <w:ind w:start="0" w:hanging="0"/>
      </w:pPr>
    </w:lvl>
    <w:lvl w:ilvl="2">
      <w:start w:val="1"/>
      <w:pStyle w:val="Heading3"/>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autoHyphenation w:val="true"/>
  <w:hyphenationZone w:val="0"/>
  <w:footnotePr>
    <w:numFmt w:val="decimal"/>
    <w:numRestart w:val="eachSect"/>
    <w:footnote w:id="0"/>
    <w:footnote w:id="1"/>
  </w:footnotePr>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w:sz w:val="24"/>
        <w:szCs w:val="24"/>
        <w:lang w:val="fr-FR" w:eastAsia="zh-CN" w:bidi="hi-IN"/>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spacing w:before="0" w:after="113"/>
      <w:ind w:hanging="0" w:start="0" w:end="0"/>
      <w:jc w:val="both"/>
    </w:pPr>
    <w:rPr>
      <w:rFonts w:ascii="Arial" w:hAnsi="Arial" w:eastAsia="DejaVu Sans" w:cs="DejaVu Sans"/>
      <w:color w:val="auto"/>
      <w:kern w:val="2"/>
      <w:sz w:val="24"/>
      <w:szCs w:val="24"/>
      <w:lang w:val="fr-FR" w:eastAsia="zh-CN" w:bidi="hi-IN"/>
    </w:rPr>
  </w:style>
  <w:style w:type="paragraph" w:styleId="Heading1">
    <w:name w:val="heading 1"/>
    <w:basedOn w:val="Heading"/>
    <w:next w:val="BodyText"/>
    <w:qFormat/>
    <w:pPr>
      <w:pageBreakBefore w:val="false"/>
      <w:numPr>
        <w:ilvl w:val="0"/>
        <w:numId w:val="0"/>
      </w:numPr>
      <w:spacing w:before="240" w:after="120"/>
      <w:ind w:hanging="0" w:start="0"/>
      <w:outlineLvl w:val="0"/>
    </w:pPr>
    <w:rPr>
      <w:b/>
      <w:bCs/>
      <w:sz w:val="36"/>
      <w:szCs w:val="36"/>
    </w:rPr>
  </w:style>
  <w:style w:type="paragraph" w:styleId="Heading2">
    <w:name w:val="heading 2"/>
    <w:basedOn w:val="Heading"/>
    <w:next w:val="BodyText"/>
    <w:qFormat/>
    <w:pPr>
      <w:pageBreakBefore w:val="false"/>
      <w:numPr>
        <w:ilvl w:val="1"/>
        <w:numId w:val="1"/>
      </w:numPr>
      <w:spacing w:before="200" w:after="120"/>
      <w:jc w:val="start"/>
      <w:outlineLvl w:val="1"/>
    </w:pPr>
    <w:rPr>
      <w:rFonts w:ascii="Arial" w:hAnsi="Arial" w:cs="Arial"/>
      <w:b/>
      <w:bCs/>
      <w:sz w:val="32"/>
      <w:szCs w:val="32"/>
    </w:rPr>
  </w:style>
  <w:style w:type="paragraph" w:styleId="Heading3">
    <w:name w:val="heading 3"/>
    <w:basedOn w:val="Heading"/>
    <w:next w:val="BodyText"/>
    <w:qFormat/>
    <w:pPr>
      <w:numPr>
        <w:ilvl w:val="2"/>
        <w:numId w:val="1"/>
      </w:numPr>
      <w:spacing w:before="140" w:after="120"/>
      <w:jc w:val="center"/>
      <w:outlineLvl w:val="2"/>
    </w:pPr>
    <w:rPr>
      <w:rFonts w:ascii="Arial;Helvetica" w:hAnsi="Arial;Helvetica" w:eastAsia="Arial;Helvetica" w:cs="Arial;Helvetica"/>
      <w:b/>
      <w:bCs/>
      <w:color w:val="FF0000"/>
      <w:sz w:val="30"/>
      <w:szCs w:val="30"/>
    </w:rPr>
  </w:style>
  <w:style w:type="character" w:styleId="WW8Num3z0">
    <w:name w:val="WW8Num3z0"/>
    <w:qFormat/>
    <w:rPr>
      <w:rFonts w:ascii="Symbol" w:hAnsi="Symbol" w:cs="OpenSymbol;Arial Unicode MS"/>
    </w:rPr>
  </w:style>
  <w:style w:type="character" w:styleId="WW8Num3z1">
    <w:name w:val="WW8Num3z1"/>
    <w:qFormat/>
    <w:rPr>
      <w:rFonts w:ascii="OpenSymbol;Arial Unicode MS" w:hAnsi="OpenSymbol;Arial Unicode MS" w:cs="OpenSymbol;Arial Unicode MS"/>
    </w:rPr>
  </w:style>
  <w:style w:type="character" w:styleId="WW8Num4z0">
    <w:name w:val="WW8Num4z0"/>
    <w:qFormat/>
    <w:rPr>
      <w:rFonts w:ascii="Symbol" w:hAnsi="Symbol" w:cs="OpenSymbol;Arial Unicode MS"/>
    </w:rPr>
  </w:style>
  <w:style w:type="character" w:styleId="WW8Num4z1">
    <w:name w:val="WW8Num4z1"/>
    <w:qFormat/>
    <w:rPr>
      <w:rFonts w:ascii="OpenSymbol;Arial Unicode MS" w:hAnsi="OpenSymbol;Arial Unicode MS" w:cs="OpenSymbol;Arial Unicode MS"/>
    </w:rPr>
  </w:style>
  <w:style w:type="character" w:styleId="WW8Num5z0">
    <w:name w:val="WW8Num5z0"/>
    <w:qFormat/>
    <w:rPr>
      <w:rFonts w:ascii="Symbol" w:hAnsi="Symbol" w:cs="OpenSymbol;Arial Unicode MS"/>
    </w:rPr>
  </w:style>
  <w:style w:type="character" w:styleId="WW8Num5z1">
    <w:name w:val="WW8Num5z1"/>
    <w:qFormat/>
    <w:rPr>
      <w:rFonts w:ascii="OpenSymbol;Arial Unicode MS" w:hAnsi="OpenSymbol;Arial Unicode MS" w:cs="OpenSymbol;Arial Unicode MS"/>
    </w:rPr>
  </w:style>
  <w:style w:type="character" w:styleId="WW8Num6z0">
    <w:name w:val="WW8Num6z0"/>
    <w:qFormat/>
    <w:rPr>
      <w:rFonts w:ascii="Symbol" w:hAnsi="Symbol" w:cs="OpenSymbol;Arial Unicode MS"/>
    </w:rPr>
  </w:style>
  <w:style w:type="character" w:styleId="WW8Num6z1">
    <w:name w:val="WW8Num6z1"/>
    <w:qFormat/>
    <w:rPr>
      <w:rFonts w:ascii="OpenSymbol;Arial Unicode MS" w:hAnsi="OpenSymbol;Arial Unicode MS" w:cs="OpenSymbol;Arial Unicode MS"/>
    </w:rPr>
  </w:style>
  <w:style w:type="character" w:styleId="WW8Num7z0">
    <w:name w:val="WW8Num7z0"/>
    <w:qFormat/>
    <w:rPr>
      <w:rFonts w:ascii="Symbol" w:hAnsi="Symbol" w:cs="OpenSymbol;Arial Unicode MS"/>
    </w:rPr>
  </w:style>
  <w:style w:type="character" w:styleId="WW8Num7z1">
    <w:name w:val="WW8Num7z1"/>
    <w:qFormat/>
    <w:rPr>
      <w:rFonts w:ascii="OpenSymbol;Arial Unicode MS" w:hAnsi="OpenSymbol;Arial Unicode MS" w:cs="OpenSymbol;Arial Unicode MS"/>
    </w:rPr>
  </w:style>
  <w:style w:type="character" w:styleId="WW8Num8z0">
    <w:name w:val="WW8Num8z0"/>
    <w:qFormat/>
    <w:rPr>
      <w:rFonts w:ascii="Symbol" w:hAnsi="Symbol" w:cs="OpenSymbol;Arial Unicode MS"/>
    </w:rPr>
  </w:style>
  <w:style w:type="character" w:styleId="WW8Num8z1">
    <w:name w:val="WW8Num8z1"/>
    <w:qFormat/>
    <w:rPr>
      <w:rFonts w:ascii="OpenSymbol;Arial Unicode MS" w:hAnsi="OpenSymbol;Arial Unicode MS" w:cs="OpenSymbol;Arial Unicode MS"/>
    </w:rPr>
  </w:style>
  <w:style w:type="character" w:styleId="WW8Num9z0">
    <w:name w:val="WW8Num9z0"/>
    <w:qFormat/>
    <w:rPr>
      <w:rFonts w:ascii="Symbol" w:hAnsi="Symbol" w:cs="OpenSymbol;Arial Unicode MS"/>
    </w:rPr>
  </w:style>
  <w:style w:type="character" w:styleId="WW8Num9z1">
    <w:name w:val="WW8Num9z1"/>
    <w:qFormat/>
    <w:rPr>
      <w:rFonts w:ascii="OpenSymbol;Arial Unicode MS" w:hAnsi="OpenSymbol;Arial Unicode MS" w:cs="OpenSymbol;Arial Unicode MS"/>
    </w:rPr>
  </w:style>
  <w:style w:type="character" w:styleId="WW8Num10z0">
    <w:name w:val="WW8Num10z0"/>
    <w:qFormat/>
    <w:rPr>
      <w:rFonts w:ascii="Symbol" w:hAnsi="Symbol" w:cs="OpenSymbol;Arial Unicode MS"/>
    </w:rPr>
  </w:style>
  <w:style w:type="character" w:styleId="WW8Num10z1">
    <w:name w:val="WW8Num10z1"/>
    <w:qFormat/>
    <w:rPr>
      <w:rFonts w:ascii="OpenSymbol;Arial Unicode MS" w:hAnsi="OpenSymbol;Arial Unicode MS" w:cs="OpenSymbol;Arial Unicode MS"/>
    </w:rPr>
  </w:style>
  <w:style w:type="character" w:styleId="WW8Num11z0">
    <w:name w:val="WW8Num11z0"/>
    <w:qFormat/>
    <w:rPr>
      <w:rFonts w:ascii="Symbol" w:hAnsi="Symbol" w:cs="OpenSymbol;Arial Unicode MS"/>
    </w:rPr>
  </w:style>
  <w:style w:type="character" w:styleId="WW8Num11z1">
    <w:name w:val="WW8Num11z1"/>
    <w:qFormat/>
    <w:rPr>
      <w:rFonts w:ascii="OpenSymbol;Arial Unicode MS" w:hAnsi="OpenSymbol;Arial Unicode MS" w:cs="OpenSymbol;Arial Unicode MS"/>
    </w:rPr>
  </w:style>
  <w:style w:type="character" w:styleId="WW8Num2z0">
    <w:name w:val="WW8Num2z0"/>
    <w:qFormat/>
    <w:rPr>
      <w:rFonts w:ascii="Symbol" w:hAnsi="Symbol" w:cs="OpenSymbol;Arial Unicode MS"/>
    </w:rPr>
  </w:style>
  <w:style w:type="character" w:styleId="WW8Num2z1">
    <w:name w:val="WW8Num2z1"/>
    <w:qFormat/>
    <w:rPr>
      <w:rFonts w:ascii="OpenSymbol;Arial Unicode MS" w:hAnsi="OpenSymbol;Arial Unicode MS" w:cs="OpenSymbol;Arial Unicode MS"/>
    </w:rPr>
  </w:style>
  <w:style w:type="character" w:styleId="Caractresdenotedebasdepage">
    <w:name w:val="Caractères de note de bas de page"/>
    <w:qFormat/>
    <w:rPr/>
  </w:style>
  <w:style w:type="character" w:styleId="FootnoteCharacters">
    <w:name w:val="Footnote Characters"/>
    <w:qFormat/>
    <w:rPr>
      <w:vertAlign w:val="superscript"/>
    </w:rPr>
  </w:style>
  <w:style w:type="character" w:styleId="Puces">
    <w:name w:val="Puces"/>
    <w:qFormat/>
    <w:rPr>
      <w:rFonts w:ascii="OpenSymbol;Arial Unicode MS" w:hAnsi="OpenSymbol;Arial Unicode MS" w:eastAsia="OpenSymbol;Arial Unicode MS" w:cs="OpenSymbol;Arial Unicode MS"/>
    </w:rPr>
  </w:style>
  <w:style w:type="character" w:styleId="EndnoteCharacters">
    <w:name w:val="Endnote Characters"/>
    <w:qFormat/>
    <w:rPr>
      <w:vertAlign w:val="superscript"/>
    </w:rPr>
  </w:style>
  <w:style w:type="character" w:styleId="Caractresdenotedefin">
    <w:name w:val="Caractères de note de fin"/>
    <w:qFormat/>
    <w:rPr/>
  </w:style>
  <w:style w:type="character" w:styleId="footnotereference1">
    <w:name w:val="footnote reference1"/>
    <w:qFormat/>
    <w:rPr>
      <w:vertAlign w:val="superscript"/>
    </w:rPr>
  </w:style>
  <w:style w:type="character" w:styleId="endnotereference1">
    <w:name w:val="endnote reference1"/>
    <w:qFormat/>
    <w:rPr>
      <w:vertAlign w:val="superscript"/>
    </w:rPr>
  </w:style>
  <w:style w:type="character" w:styleId="Quotation">
    <w:name w:val="Quotation"/>
    <w:qFormat/>
    <w:rPr>
      <w:i/>
      <w:iCs/>
    </w:rPr>
  </w:style>
  <w:style w:type="character" w:styleId="Emphasis">
    <w:name w:val="Emphasis"/>
    <w:qFormat/>
    <w:rPr>
      <w:i/>
      <w:iCs/>
    </w:rPr>
  </w:style>
  <w:style w:type="character" w:styleId="NumberingSymbols">
    <w:name w:val="Numbering Symbols"/>
    <w:qFormat/>
    <w:rPr/>
  </w:style>
  <w:style w:type="character" w:styleId="Hyperlink">
    <w:name w:val="Hyperlink"/>
    <w:rPr>
      <w:color w:val="000080"/>
      <w:u w:val="single"/>
    </w:rPr>
  </w:style>
  <w:style w:type="character" w:styleId="FollowedHyperlink">
    <w:name w:val="FollowedHyperlink"/>
    <w:rPr>
      <w:strike w:val="false"/>
      <w:dstrike w:val="false"/>
      <w:color w:val="DC061F"/>
      <w:u w:val="none"/>
    </w:rPr>
  </w:style>
  <w:style w:type="character" w:styleId="footnotereference2">
    <w:name w:val="footnote reference2"/>
    <w:qFormat/>
    <w:rPr>
      <w:vertAlign w:val="superscript"/>
    </w:rPr>
  </w:style>
  <w:style w:type="character" w:styleId="endnotereference2">
    <w:name w:val="endnote reference2"/>
    <w:qFormat/>
    <w:rPr>
      <w:vertAlign w:val="superscript"/>
    </w:rPr>
  </w:style>
  <w:style w:type="character" w:styleId="footnotereference3">
    <w:name w:val="footnote reference3"/>
    <w:qFormat/>
    <w:rPr>
      <w:vertAlign w:val="superscript"/>
    </w:rPr>
  </w:style>
  <w:style w:type="character" w:styleId="endnotereference3">
    <w:name w:val="endnote reference3"/>
    <w:qFormat/>
    <w:rPr>
      <w:vertAlign w:val="superscript"/>
    </w:rPr>
  </w:style>
  <w:style w:type="character" w:styleId="footnotereference4">
    <w:name w:val="footnote reference4"/>
    <w:qFormat/>
    <w:rPr>
      <w:vertAlign w:val="superscript"/>
    </w:rPr>
  </w:style>
  <w:style w:type="character" w:styleId="endnotereference4">
    <w:name w:val="endnote reference4"/>
    <w:qFormat/>
    <w:rPr>
      <w:vertAlign w:val="superscript"/>
    </w:rPr>
  </w:style>
  <w:style w:type="character" w:styleId="footnotereference5">
    <w:name w:val="footnote reference5"/>
    <w:qFormat/>
    <w:rPr>
      <w:vertAlign w:val="superscript"/>
    </w:rPr>
  </w:style>
  <w:style w:type="character" w:styleId="endnotereference5">
    <w:name w:val="endnote reference5"/>
    <w:qFormat/>
    <w:rPr>
      <w:vertAlign w:val="superscript"/>
    </w:rPr>
  </w:style>
  <w:style w:type="character" w:styleId="footnotereference6">
    <w:name w:val="footnote reference6"/>
    <w:qFormat/>
    <w:rPr>
      <w:vertAlign w:val="superscript"/>
    </w:rPr>
  </w:style>
  <w:style w:type="character" w:styleId="endnotereference6">
    <w:name w:val="endnote reference6"/>
    <w:qFormat/>
    <w:rPr>
      <w:vertAlign w:val="superscript"/>
    </w:rPr>
  </w:style>
  <w:style w:type="character" w:styleId="footnotereference7">
    <w:name w:val="footnote reference7"/>
    <w:qFormat/>
    <w:rPr>
      <w:vertAlign w:val="superscript"/>
    </w:rPr>
  </w:style>
  <w:style w:type="character" w:styleId="endnotereference7">
    <w:name w:val="endnote reference7"/>
    <w:qFormat/>
    <w:rPr>
      <w:vertAlign w:val="superscript"/>
    </w:rPr>
  </w:style>
  <w:style w:type="character" w:styleId="footnotereference8">
    <w:name w:val="footnote reference8"/>
    <w:qFormat/>
    <w:rPr>
      <w:vertAlign w:val="superscript"/>
    </w:rPr>
  </w:style>
  <w:style w:type="character" w:styleId="endnotereference8">
    <w:name w:val="endnote reference8"/>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Titre"/>
    <w:next w:val="BodyText"/>
    <w:qFormat/>
    <w:pPr>
      <w:pageBreakBefore/>
      <w:spacing w:before="0" w:after="119"/>
      <w:jc w:val="center"/>
    </w:pPr>
    <w:rPr>
      <w:rFonts w:ascii="Arial Black" w:hAnsi="Arial Black" w:cs="Arial Black"/>
      <w:b/>
      <w:bCs/>
      <w:sz w:val="36"/>
      <w:szCs w:val="56"/>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style>
  <w:style w:type="paragraph" w:styleId="Titre">
    <w:name w:val="Titre"/>
    <w:basedOn w:val="Normal"/>
    <w:next w:val="BodyText"/>
    <w:qFormat/>
    <w:pPr>
      <w:keepNext w:val="true"/>
      <w:spacing w:before="240" w:after="120"/>
    </w:pPr>
    <w:rPr>
      <w:rFonts w:ascii="Liberation Sans;Arial" w:hAnsi="Liberation Sans;Arial" w:eastAsia="DejaVu Sans" w:cs="DejaVu Sans"/>
      <w:sz w:val="28"/>
      <w:szCs w:val="28"/>
    </w:rPr>
  </w:style>
  <w:style w:type="paragraph" w:styleId="caption1">
    <w:name w:val="caption1"/>
    <w:basedOn w:val="Normal"/>
    <w:qFormat/>
    <w:pPr>
      <w:suppressLineNumbers/>
      <w:spacing w:before="120" w:after="120"/>
    </w:pPr>
    <w:rPr>
      <w:rFonts w:cs="Noto Sans"/>
      <w:i/>
      <w:iCs/>
      <w:sz w:val="24"/>
      <w:szCs w:val="24"/>
    </w:rPr>
  </w:style>
  <w:style w:type="paragraph" w:styleId="caption11">
    <w:name w:val="caption11"/>
    <w:basedOn w:val="Normal"/>
    <w:qFormat/>
    <w:pPr>
      <w:suppressLineNumbers/>
      <w:spacing w:before="120" w:after="120"/>
    </w:pPr>
    <w:rPr>
      <w:rFonts w:cs="Noto Sans"/>
      <w:i/>
      <w:iCs/>
      <w:sz w:val="24"/>
      <w:szCs w:val="24"/>
    </w:rPr>
  </w:style>
  <w:style w:type="paragraph" w:styleId="caption111">
    <w:name w:val="caption111"/>
    <w:basedOn w:val="Normal"/>
    <w:qFormat/>
    <w:pPr>
      <w:suppressLineNumbers/>
      <w:spacing w:before="120" w:after="120"/>
    </w:pPr>
    <w:rPr>
      <w:rFonts w:cs="Noto Sans"/>
      <w:i/>
      <w:iCs/>
      <w:sz w:val="24"/>
      <w:szCs w:val="24"/>
    </w:rPr>
  </w:style>
  <w:style w:type="paragraph" w:styleId="caption1111">
    <w:name w:val="caption1111"/>
    <w:basedOn w:val="Normal"/>
    <w:qFormat/>
    <w:pPr>
      <w:suppressLineNumbers/>
      <w:spacing w:before="120" w:after="120"/>
    </w:pPr>
    <w:rPr>
      <w:rFonts w:cs="Noto Sans"/>
      <w:i/>
      <w:iCs/>
      <w:sz w:val="24"/>
      <w:szCs w:val="24"/>
    </w:rPr>
  </w:style>
  <w:style w:type="paragraph" w:styleId="caption11111">
    <w:name w:val="caption11111"/>
    <w:basedOn w:val="Normal"/>
    <w:qFormat/>
    <w:pPr>
      <w:suppressLineNumbers/>
      <w:spacing w:before="120" w:after="120"/>
    </w:pPr>
    <w:rPr>
      <w:rFonts w:cs="Noto Sans"/>
      <w:i/>
      <w:iCs/>
      <w:sz w:val="24"/>
      <w:szCs w:val="24"/>
    </w:rPr>
  </w:style>
  <w:style w:type="paragraph" w:styleId="caption111111">
    <w:name w:val="caption111111"/>
    <w:basedOn w:val="Normal"/>
    <w:qFormat/>
    <w:pPr>
      <w:suppressLineNumbers/>
      <w:spacing w:before="120" w:after="120"/>
    </w:pPr>
    <w:rPr>
      <w:rFonts w:cs="Noto Sans"/>
      <w:i/>
      <w:iCs/>
      <w:sz w:val="24"/>
      <w:szCs w:val="24"/>
    </w:rPr>
  </w:style>
  <w:style w:type="paragraph" w:styleId="caption1111111">
    <w:name w:val="caption1111111"/>
    <w:basedOn w:val="Normal"/>
    <w:qFormat/>
    <w:pPr>
      <w:suppressLineNumbers/>
      <w:spacing w:before="120" w:after="120"/>
    </w:pPr>
    <w:rPr>
      <w:rFonts w:cs="Noto Sans"/>
      <w:i/>
      <w:iCs/>
      <w:sz w:val="24"/>
      <w:szCs w:val="24"/>
    </w:rPr>
  </w:style>
  <w:style w:type="paragraph" w:styleId="caption11111111">
    <w:name w:val="caption11111111"/>
    <w:basedOn w:val="Normal"/>
    <w:qFormat/>
    <w:pPr>
      <w:suppressLineNumbers/>
      <w:spacing w:before="120" w:after="120"/>
    </w:pPr>
    <w:rPr>
      <w:rFonts w:cs="Noto Sans"/>
      <w:i/>
      <w:iCs/>
      <w:sz w:val="24"/>
      <w:szCs w:val="24"/>
    </w:rPr>
  </w:style>
  <w:style w:type="paragraph" w:styleId="Lgende">
    <w:name w:val="Légende"/>
    <w:basedOn w:val="Normal"/>
    <w:qFormat/>
    <w:pPr>
      <w:suppressLineNumbers/>
      <w:spacing w:before="120" w:after="120"/>
    </w:pPr>
    <w:rPr>
      <w:i/>
      <w:iCs/>
      <w:sz w:val="24"/>
      <w:szCs w:val="24"/>
    </w:rPr>
  </w:style>
  <w:style w:type="paragraph" w:styleId="FootnoteText">
    <w:name w:val="footnote text"/>
    <w:basedOn w:val="Normal"/>
    <w:pPr>
      <w:suppressLineNumbers/>
      <w:ind w:hanging="340" w:start="340" w:end="0"/>
    </w:pPr>
    <w:rPr>
      <w:sz w:val="20"/>
      <w:szCs w:val="20"/>
    </w:rPr>
  </w:style>
  <w:style w:type="paragraph" w:styleId="Question">
    <w:name w:val="Question"/>
    <w:basedOn w:val="Normal"/>
    <w:qFormat/>
    <w:pPr>
      <w:ind w:firstLine="57" w:start="-57" w:end="0"/>
    </w:pPr>
    <w:rPr>
      <w:i/>
    </w:rPr>
  </w:style>
  <w:style w:type="paragraph" w:styleId="Liste1">
    <w:name w:val="Liste 1"/>
    <w:basedOn w:val="List"/>
    <w:qFormat/>
    <w:pPr>
      <w:spacing w:lineRule="auto" w:line="240" w:before="0" w:after="120"/>
      <w:ind w:hanging="360" w:start="360" w:end="0"/>
    </w:pPr>
    <w:rPr>
      <w:i/>
    </w:rPr>
  </w:style>
  <w:style w:type="paragraph" w:styleId="Liste1dbut">
    <w:name w:val="Liste 1 début"/>
    <w:basedOn w:val="List"/>
    <w:next w:val="Liste1"/>
    <w:qFormat/>
    <w:pPr>
      <w:spacing w:before="240" w:after="120"/>
      <w:ind w:hanging="360" w:start="360" w:end="0"/>
    </w:pPr>
    <w:rPr/>
  </w:style>
  <w:style w:type="paragraph" w:styleId="Contenudetableau">
    <w:name w:val="Contenu de tableau"/>
    <w:basedOn w:val="Normal"/>
    <w:qFormat/>
    <w:pPr>
      <w:widowControl w:val="false"/>
      <w:suppressLineNumbers/>
    </w:pPr>
    <w:rPr/>
  </w:style>
  <w:style w:type="paragraph" w:styleId="Titredetableau">
    <w:name w:val="Titre de tableau"/>
    <w:basedOn w:val="Contenudetableau"/>
    <w:qFormat/>
    <w:pPr>
      <w:suppressLineNumbers/>
      <w:jc w:val="center"/>
    </w:pPr>
    <w:rPr>
      <w:b/>
      <w:bCs/>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Title">
    <w:name w:val="Title"/>
    <w:basedOn w:val="Heading"/>
    <w:next w:val="BodyText"/>
    <w:qFormat/>
    <w:pPr>
      <w:numPr>
        <w:ilvl w:val="0"/>
        <w:numId w:val="2"/>
      </w:numPr>
      <w:jc w:val="center"/>
      <w:outlineLvl w:val="0"/>
    </w:pPr>
    <w:rPr>
      <w:b/>
      <w:bCs/>
      <w:sz w:val="44"/>
      <w:szCs w:val="56"/>
    </w:rPr>
  </w:style>
  <w:style w:type="paragraph" w:styleId="Subtitle">
    <w:name w:val="Subtitle"/>
    <w:basedOn w:val="Heading"/>
    <w:next w:val="BodyText"/>
    <w:qFormat/>
    <w:pPr>
      <w:pageBreakBefore w:val="false"/>
      <w:spacing w:before="60" w:after="120"/>
      <w:jc w:val="center"/>
    </w:pPr>
    <w:rPr>
      <w:rFonts w:ascii="Arial" w:hAnsi="Arial" w:cs="Arial"/>
      <w:sz w:val="36"/>
      <w:szCs w:val="36"/>
    </w:rPr>
  </w:style>
  <w:style w:type="paragraph" w:styleId="BlockQuotation">
    <w:name w:val="Block Quotation"/>
    <w:basedOn w:val="Normal"/>
    <w:qFormat/>
    <w:pPr>
      <w:spacing w:before="0" w:after="113"/>
      <w:ind w:hanging="0" w:start="567" w:end="567"/>
    </w:pPr>
    <w:rPr/>
  </w:style>
  <w:style w:type="paragraph" w:styleId="EndnoteText">
    <w:name w:val="endnote text"/>
    <w:basedOn w:val="Normal"/>
    <w:pPr>
      <w:suppressLineNumbers/>
      <w:ind w:hanging="340" w:start="340" w:end="0"/>
    </w:pPr>
    <w:rPr>
      <w:sz w:val="20"/>
      <w:szCs w:val="20"/>
    </w:rPr>
  </w:style>
  <w:style w:type="paragraph" w:styleId="BodyTextexerg">
    <w:name w:val="Body Text.exerg"/>
    <w:basedOn w:val="BodyText"/>
    <w:qFormat/>
    <w:pPr/>
    <w:rPr>
      <w:rFonts w:ascii="Times;Times New Roman" w:hAnsi="Times;Times New Roman" w:eastAsia="Times;Times New Roman" w:cs="Times;Times New Roman"/>
      <w:i/>
      <w:iCs/>
      <w:color w:val="000000"/>
    </w:rPr>
  </w:style>
  <w:style w:type="paragraph" w:styleId="BodyTextnote">
    <w:name w:val="Body Text.note"/>
    <w:basedOn w:val="BodyText"/>
    <w:qFormat/>
    <w:pPr>
      <w:jc w:val="both"/>
    </w:pPr>
    <w:rPr>
      <w:rFonts w:ascii="Times;Times New Roman" w:hAnsi="Times;Times New Roman" w:eastAsia="Times;Times New Roman" w:cs="Times;Times New Roman"/>
      <w:color w:val="008080"/>
      <w:sz w:val="22"/>
      <w:szCs w:val="22"/>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 w:type="paragraph" w:styleId="BodyTextFirstIndent">
    <w:name w:val="Body Text First Indent"/>
    <w:basedOn w:val="BodyText"/>
    <w:qFormat/>
    <w:pPr>
      <w:ind w:hanging="0" w:start="0" w:end="0"/>
    </w:pPr>
    <w:rPr>
      <w:b/>
      <w:i/>
    </w:rPr>
  </w:style>
  <w:style w:type="paragraph" w:styleId="rponse">
    <w:name w:val="réponse"/>
    <w:basedOn w:val="Normal"/>
    <w:next w:val="Normal"/>
    <w:qFormat/>
    <w:pPr>
      <w:ind w:hanging="0" w:start="283" w:end="0"/>
    </w:pPr>
    <w:rPr/>
  </w:style>
  <w:style w:type="paragraph" w:styleId="PreformattedText">
    <w:name w:val="Preformatted Text"/>
    <w:basedOn w:val="Normal"/>
    <w:qFormat/>
    <w:pPr>
      <w:spacing w:before="0" w:after="0"/>
    </w:pPr>
    <w:rPr>
      <w:rFonts w:ascii="Liberation Mono" w:hAnsi="Liberation Mono" w:eastAsia="Noto Sans Mono CJK SC" w:cs="Liberation Mono"/>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1352</TotalTime>
  <Application>LibreOffice/24.8.4.2$Linux_X86_64 LibreOffice_project/bb3cfa12c7b1bf994ecc5649a80400d06cd71002</Application>
  <AppVersion>15.0000</AppVersion>
  <Pages>1</Pages>
  <Words>423</Words>
  <Characters>2357</Characters>
  <CharactersWithSpaces>2771</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2025-05-01T16:42:00Z</dcterms:created>
  <dc:creator/>
  <dc:description/>
  <dc:language>fr-FR</dc:language>
  <cp:lastModifiedBy/>
  <cp:lastPrinted>2025-07-17T16:46:00Z</cp:lastPrinted>
  <dcterms:modified xsi:type="dcterms:W3CDTF">2025-07-30T00:30:58Z</dcterms:modified>
  <cp:revision>33</cp:revision>
  <dc:subject/>
  <dc:title>Congrès du POI, 1937</dc:title>
</cp:coreProperties>
</file>